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kern w:val="0"/>
          <w:sz w:val="44"/>
          <w:szCs w:val="44"/>
          <w:lang w:val="zh-CN"/>
        </w:rPr>
      </w:pPr>
      <w:bookmarkStart w:id="0" w:name="_GoBack"/>
      <w:r>
        <w:rPr>
          <w:rFonts w:hint="eastAsia" w:ascii="宋体" w:hAnsi="宋体" w:eastAsia="宋体" w:cs="宋体"/>
          <w:kern w:val="0"/>
          <w:sz w:val="44"/>
          <w:szCs w:val="44"/>
        </w:rPr>
        <w:t>交银国信集中采购</w:t>
      </w:r>
      <w:r>
        <w:rPr>
          <w:rFonts w:hint="eastAsia" w:ascii="宋体" w:hAnsi="宋体" w:eastAsia="宋体" w:cs="宋体"/>
          <w:kern w:val="0"/>
          <w:sz w:val="44"/>
          <w:szCs w:val="44"/>
          <w:lang w:val="zh-CN"/>
        </w:rPr>
        <w:t>单一来源采购公示</w:t>
      </w:r>
    </w:p>
    <w:p>
      <w:pPr>
        <w:jc w:val="center"/>
        <w:rPr>
          <w:rFonts w:hint="eastAsia" w:ascii="宋体" w:hAnsi="宋体" w:eastAsia="宋体" w:cs="宋体"/>
          <w:spacing w:val="-12"/>
          <w:sz w:val="44"/>
          <w:szCs w:val="44"/>
        </w:rPr>
      </w:pPr>
      <w:r>
        <w:rPr>
          <w:rFonts w:hint="eastAsia" w:ascii="宋体" w:hAnsi="宋体" w:eastAsia="宋体" w:cs="宋体"/>
          <w:kern w:val="0"/>
          <w:sz w:val="44"/>
          <w:szCs w:val="44"/>
          <w:lang w:val="zh-CN"/>
        </w:rPr>
        <w:t>（</w:t>
      </w:r>
      <w:r>
        <w:rPr>
          <w:rFonts w:hint="eastAsia" w:ascii="宋体" w:hAnsi="宋体" w:eastAsia="宋体" w:cs="宋体"/>
          <w:kern w:val="0"/>
          <w:sz w:val="44"/>
          <w:szCs w:val="44"/>
        </w:rPr>
        <w:t>第</w:t>
      </w:r>
      <w:r>
        <w:rPr>
          <w:rFonts w:hint="eastAsia" w:ascii="宋体" w:hAnsi="宋体" w:eastAsia="宋体" w:cs="宋体"/>
          <w:kern w:val="0"/>
          <w:sz w:val="44"/>
          <w:szCs w:val="44"/>
          <w:lang w:val="en-US" w:eastAsia="zh-CN"/>
        </w:rPr>
        <w:t>3</w:t>
      </w:r>
      <w:r>
        <w:rPr>
          <w:rFonts w:hint="eastAsia" w:ascii="宋体" w:hAnsi="宋体" w:eastAsia="宋体" w:cs="宋体"/>
          <w:kern w:val="0"/>
          <w:sz w:val="44"/>
          <w:szCs w:val="44"/>
        </w:rPr>
        <w:t>次）</w:t>
      </w:r>
    </w:p>
    <w:p>
      <w:pPr>
        <w:autoSpaceDE w:val="0"/>
        <w:autoSpaceDN w:val="0"/>
        <w:adjustRightInd w:val="0"/>
        <w:spacing w:line="560" w:lineRule="atLeast"/>
        <w:ind w:firstLine="640"/>
        <w:jc w:val="left"/>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根据《</w:t>
      </w:r>
      <w:r>
        <w:rPr>
          <w:rFonts w:hint="eastAsia" w:ascii="宋体" w:hAnsi="宋体" w:eastAsia="宋体" w:cs="宋体"/>
          <w:bCs/>
          <w:kern w:val="0"/>
          <w:sz w:val="32"/>
          <w:szCs w:val="32"/>
        </w:rPr>
        <w:t>交银国信集中采购管理办法（2024年版）</w:t>
      </w:r>
      <w:r>
        <w:rPr>
          <w:rFonts w:hint="eastAsia" w:ascii="宋体" w:hAnsi="宋体" w:eastAsia="宋体" w:cs="宋体"/>
          <w:kern w:val="0"/>
          <w:sz w:val="32"/>
          <w:szCs w:val="32"/>
          <w:lang w:val="zh-CN"/>
        </w:rPr>
        <w:t>》的相关规定和202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lang w:val="zh-CN"/>
        </w:rPr>
        <w:t>年</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lang w:val="zh-CN"/>
        </w:rPr>
        <w:t>月</w:t>
      </w:r>
      <w:r>
        <w:rPr>
          <w:rFonts w:hint="eastAsia" w:ascii="宋体" w:hAnsi="宋体" w:eastAsia="宋体" w:cs="宋体"/>
          <w:kern w:val="0"/>
          <w:sz w:val="32"/>
          <w:szCs w:val="32"/>
          <w:lang w:val="en-US" w:eastAsia="zh-CN"/>
        </w:rPr>
        <w:t>17</w:t>
      </w:r>
      <w:r>
        <w:rPr>
          <w:rFonts w:hint="eastAsia" w:ascii="宋体" w:hAnsi="宋体" w:eastAsia="宋体" w:cs="宋体"/>
          <w:kern w:val="0"/>
          <w:sz w:val="32"/>
          <w:szCs w:val="32"/>
          <w:lang w:val="zh-CN"/>
        </w:rPr>
        <w:t>日</w:t>
      </w:r>
      <w:r>
        <w:rPr>
          <w:rFonts w:hint="eastAsia" w:ascii="宋体" w:hAnsi="宋体" w:eastAsia="宋体" w:cs="宋体"/>
          <w:kern w:val="0"/>
          <w:sz w:val="32"/>
          <w:szCs w:val="32"/>
        </w:rPr>
        <w:t>第</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次</w:t>
      </w:r>
      <w:r>
        <w:rPr>
          <w:rFonts w:hint="eastAsia" w:ascii="宋体" w:hAnsi="宋体" w:eastAsia="宋体" w:cs="宋体"/>
          <w:kern w:val="0"/>
          <w:sz w:val="32"/>
          <w:szCs w:val="32"/>
          <w:lang w:val="zh-CN"/>
        </w:rPr>
        <w:t>集中采购管理委员会决议，对</w:t>
      </w:r>
      <w:r>
        <w:rPr>
          <w:rFonts w:hint="eastAsia" w:ascii="宋体" w:hAnsi="宋体" w:eastAsia="宋体" w:cs="宋体"/>
          <w:kern w:val="0"/>
          <w:sz w:val="32"/>
          <w:szCs w:val="32"/>
          <w:lang w:val="en-US" w:eastAsia="zh-CN"/>
        </w:rPr>
        <w:t>深证通金融数据交换平台租用项目</w:t>
      </w:r>
      <w:r>
        <w:rPr>
          <w:rFonts w:hint="eastAsia" w:ascii="宋体" w:hAnsi="宋体" w:eastAsia="宋体" w:cs="宋体"/>
          <w:kern w:val="0"/>
          <w:sz w:val="32"/>
          <w:szCs w:val="32"/>
          <w:lang w:val="zh-CN"/>
        </w:rPr>
        <w:t>进行单一来源采购公示。</w:t>
      </w:r>
    </w:p>
    <w:tbl>
      <w:tblPr>
        <w:tblStyle w:val="7"/>
        <w:tblpPr w:leftFromText="180" w:rightFromText="180" w:vertAnchor="text" w:horzAnchor="margin" w:tblpXSpec="center" w:tblpY="62"/>
        <w:tblW w:w="145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180"/>
        <w:gridCol w:w="1655"/>
        <w:gridCol w:w="2281"/>
        <w:gridCol w:w="2025"/>
        <w:gridCol w:w="1660"/>
        <w:gridCol w:w="4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 w:hRule="atLeast"/>
        </w:trPr>
        <w:tc>
          <w:tcPr>
            <w:tcW w:w="1526"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请购单编号</w:t>
            </w:r>
          </w:p>
        </w:tc>
        <w:tc>
          <w:tcPr>
            <w:tcW w:w="1180"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采购申请部门</w:t>
            </w:r>
          </w:p>
        </w:tc>
        <w:tc>
          <w:tcPr>
            <w:tcW w:w="1655"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采购项目/采购内容</w:t>
            </w:r>
          </w:p>
        </w:tc>
        <w:tc>
          <w:tcPr>
            <w:tcW w:w="2281"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lang w:val="zh-CN"/>
              </w:rPr>
              <w:t>拟采购商品</w:t>
            </w:r>
            <w:r>
              <w:rPr>
                <w:rFonts w:hint="eastAsia" w:ascii="宋体" w:hAnsi="宋体" w:eastAsia="宋体" w:cs="宋体"/>
                <w:b/>
                <w:lang w:val="en-US" w:eastAsia="zh-CN"/>
              </w:rPr>
              <w:t>/服务</w:t>
            </w:r>
            <w:r>
              <w:rPr>
                <w:rFonts w:hint="eastAsia" w:ascii="宋体" w:hAnsi="宋体" w:eastAsia="宋体" w:cs="宋体"/>
                <w:b/>
                <w:lang w:val="zh-CN"/>
              </w:rPr>
              <w:t>信息</w:t>
            </w:r>
          </w:p>
        </w:tc>
        <w:tc>
          <w:tcPr>
            <w:tcW w:w="2025"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拟定供应商名称</w:t>
            </w:r>
          </w:p>
        </w:tc>
        <w:tc>
          <w:tcPr>
            <w:tcW w:w="1660"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供应商地址</w:t>
            </w:r>
          </w:p>
        </w:tc>
        <w:tc>
          <w:tcPr>
            <w:tcW w:w="4240" w:type="dxa"/>
            <w:vAlign w:val="center"/>
          </w:tcPr>
          <w:p>
            <w:pPr>
              <w:pStyle w:val="6"/>
              <w:widowControl/>
              <w:spacing w:before="76" w:after="302" w:line="320" w:lineRule="exact"/>
              <w:jc w:val="center"/>
              <w:rPr>
                <w:rFonts w:hint="eastAsia" w:ascii="宋体" w:hAnsi="宋体" w:eastAsia="宋体" w:cs="宋体"/>
                <w:b/>
              </w:rPr>
            </w:pPr>
            <w:r>
              <w:rPr>
                <w:rFonts w:hint="eastAsia" w:ascii="宋体" w:hAnsi="宋体" w:eastAsia="宋体" w:cs="宋体"/>
                <w:b/>
              </w:rPr>
              <w:t>单一来源理由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trPr>
        <w:tc>
          <w:tcPr>
            <w:tcW w:w="1526" w:type="dxa"/>
            <w:vAlign w:val="center"/>
          </w:tcPr>
          <w:p>
            <w:pPr>
              <w:pStyle w:val="6"/>
              <w:widowControl/>
              <w:spacing w:before="76" w:after="302" w:line="32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CGSQ31099926060008 </w:t>
            </w:r>
          </w:p>
        </w:tc>
        <w:tc>
          <w:tcPr>
            <w:tcW w:w="1180" w:type="dxa"/>
            <w:vAlign w:val="center"/>
          </w:tcPr>
          <w:p>
            <w:pPr>
              <w:pStyle w:val="6"/>
              <w:widowControl/>
              <w:spacing w:before="76" w:after="302" w:line="32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信息科技部</w:t>
            </w:r>
          </w:p>
        </w:tc>
        <w:tc>
          <w:tcPr>
            <w:tcW w:w="1655" w:type="dxa"/>
            <w:vAlign w:val="center"/>
          </w:tcPr>
          <w:p>
            <w:pPr>
              <w:pStyle w:val="6"/>
              <w:widowControl/>
              <w:spacing w:before="76" w:after="302" w:line="32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深证通金融数据交换平台租用项目</w:t>
            </w:r>
          </w:p>
        </w:tc>
        <w:tc>
          <w:tcPr>
            <w:tcW w:w="2281" w:type="dxa"/>
            <w:vAlign w:val="center"/>
          </w:tcPr>
          <w:p>
            <w:pPr>
              <w:pStyle w:val="6"/>
              <w:widowControl/>
              <w:spacing w:before="76" w:after="302" w:line="320" w:lineRule="exact"/>
              <w:jc w:val="center"/>
              <w:rPr>
                <w:rFonts w:hint="eastAsia" w:ascii="宋体" w:hAnsi="宋体" w:eastAsia="宋体" w:cs="宋体"/>
                <w:kern w:val="0"/>
                <w:sz w:val="28"/>
                <w:szCs w:val="28"/>
                <w:lang w:val="en-US" w:eastAsia="zh-CN" w:bidi="ar-SA"/>
              </w:rPr>
            </w:pP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拟租用数据交换平台的服务，开展FDEP文件传输、电子对账、基金实时申赎；以及租用专线用于联通我司和供应商的网络。采购有效期为12个月。</w:t>
            </w:r>
          </w:p>
        </w:tc>
        <w:tc>
          <w:tcPr>
            <w:tcW w:w="2025" w:type="dxa"/>
            <w:vAlign w:val="center"/>
          </w:tcPr>
          <w:p>
            <w:pPr>
              <w:pStyle w:val="3"/>
              <w:overflowPunct w:val="0"/>
              <w:topLinePunct/>
              <w:spacing w:line="320" w:lineRule="exact"/>
              <w:ind w:left="0"/>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深圳证券通信有限公司</w:t>
            </w:r>
          </w:p>
        </w:tc>
        <w:tc>
          <w:tcPr>
            <w:tcW w:w="1660" w:type="dxa"/>
            <w:vAlign w:val="center"/>
          </w:tcPr>
          <w:p>
            <w:pPr>
              <w:pStyle w:val="3"/>
              <w:overflowPunct w:val="0"/>
              <w:topLinePunct/>
              <w:spacing w:line="320" w:lineRule="exact"/>
              <w:ind w:lef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深圳市福田区滨海大道1002号</w:t>
            </w:r>
          </w:p>
        </w:tc>
        <w:tc>
          <w:tcPr>
            <w:tcW w:w="4240" w:type="dxa"/>
            <w:vAlign w:val="center"/>
          </w:tcPr>
          <w:p>
            <w:pPr>
              <w:pStyle w:val="3"/>
              <w:overflowPunct w:val="0"/>
              <w:topLinePunct/>
              <w:spacing w:line="320" w:lineRule="exact"/>
              <w:ind w:left="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1、项目符合单一来源方式采购要求</w:t>
            </w:r>
            <w:r>
              <w:rPr>
                <w:rFonts w:hint="eastAsia" w:ascii="宋体" w:hAnsi="宋体" w:eastAsia="宋体" w:cs="宋体"/>
                <w:kern w:val="0"/>
                <w:sz w:val="28"/>
                <w:szCs w:val="28"/>
                <w:lang w:val="en-US" w:eastAsia="zh-CN" w:bidi="ar-SA"/>
              </w:rPr>
              <w:t>“只能从唯一供应商处采购的”有关规定</w:t>
            </w:r>
            <w:r>
              <w:rPr>
                <w:rFonts w:hint="eastAsia" w:ascii="宋体" w:hAnsi="宋体" w:eastAsia="宋体" w:cs="宋体"/>
                <w:kern w:val="0"/>
                <w:sz w:val="28"/>
                <w:szCs w:val="28"/>
                <w:lang w:val="en-US" w:eastAsia="zh-CN" w:bidi="ar-SA"/>
              </w:rPr>
              <w:t>2、</w:t>
            </w:r>
            <w:r>
              <w:rPr>
                <w:rFonts w:hint="eastAsia" w:ascii="宋体" w:hAnsi="宋体" w:eastAsia="宋体" w:cs="宋体"/>
                <w:kern w:val="0"/>
                <w:sz w:val="28"/>
                <w:szCs w:val="28"/>
                <w:lang w:val="en-US" w:eastAsia="zh-CN" w:bidi="ar-SA"/>
              </w:rPr>
              <w:t>深圳通在金融行业数据交换领域具有不可替代性，我司开展相关业务需要于合作机构实现具有一定安全防护的网络互通。目前深证通是唯一一家可支持运行公司相关业务的平台。</w:t>
            </w:r>
          </w:p>
        </w:tc>
      </w:tr>
    </w:tbl>
    <w:p>
      <w:pPr>
        <w:pStyle w:val="3"/>
        <w:overflowPunct w:val="0"/>
        <w:topLinePunct/>
        <w:ind w:left="0" w:firstLine="800" w:firstLineChars="250"/>
        <w:rPr>
          <w:rFonts w:hint="eastAsia" w:ascii="宋体" w:hAnsi="宋体" w:eastAsia="宋体" w:cs="宋体"/>
          <w:lang w:val="zh-CN"/>
        </w:rPr>
      </w:pPr>
    </w:p>
    <w:p>
      <w:pPr>
        <w:pStyle w:val="3"/>
        <w:overflowPunct w:val="0"/>
        <w:topLinePunct/>
        <w:ind w:left="0" w:firstLine="800" w:firstLineChars="250"/>
        <w:rPr>
          <w:rFonts w:hint="eastAsia" w:ascii="宋体" w:hAnsi="宋体" w:eastAsia="宋体" w:cs="宋体"/>
          <w:lang w:val="zh-CN"/>
        </w:rPr>
      </w:pPr>
      <w:r>
        <w:rPr>
          <w:rFonts w:hint="eastAsia" w:ascii="宋体" w:hAnsi="宋体" w:eastAsia="宋体" w:cs="宋体"/>
          <w:lang w:val="zh-CN"/>
        </w:rPr>
        <w:t>对上述项目采取</w:t>
      </w:r>
      <w:r>
        <w:rPr>
          <w:rFonts w:hint="eastAsia" w:ascii="宋体" w:hAnsi="宋体" w:eastAsia="宋体" w:cs="宋体"/>
        </w:rPr>
        <w:t>单一来源采购方式</w:t>
      </w:r>
      <w:r>
        <w:rPr>
          <w:rFonts w:hint="eastAsia" w:ascii="宋体" w:hAnsi="宋体" w:eastAsia="宋体" w:cs="宋体"/>
          <w:lang w:val="zh-CN"/>
        </w:rPr>
        <w:t>有异议的，可自本公示发布之日起5日内，向下列有关部门反映：</w:t>
      </w:r>
    </w:p>
    <w:p>
      <w:pPr>
        <w:pStyle w:val="3"/>
        <w:overflowPunct w:val="0"/>
        <w:topLinePunct/>
        <w:ind w:left="106" w:right="203" w:firstLine="627"/>
        <w:rPr>
          <w:rFonts w:hint="eastAsia" w:ascii="宋体" w:hAnsi="宋体" w:eastAsia="宋体" w:cs="宋体"/>
        </w:rPr>
      </w:pPr>
      <w:r>
        <w:rPr>
          <w:rFonts w:hint="eastAsia" w:ascii="宋体" w:hAnsi="宋体" w:eastAsia="宋体" w:cs="宋体"/>
          <w:lang w:val="zh-CN"/>
        </w:rPr>
        <w:t>集中采购管理委员会办公室联系人：</w:t>
      </w:r>
      <w:r>
        <w:rPr>
          <w:rFonts w:hint="eastAsia" w:ascii="宋体" w:hAnsi="宋体" w:eastAsia="宋体" w:cs="宋体"/>
          <w:lang w:val="en-US" w:eastAsia="zh-CN"/>
        </w:rPr>
        <w:t>王冰</w:t>
      </w:r>
      <w:r>
        <w:rPr>
          <w:rFonts w:hint="eastAsia" w:ascii="宋体" w:hAnsi="宋体" w:eastAsia="宋体" w:cs="宋体"/>
          <w:lang w:val="zh-CN"/>
        </w:rPr>
        <w:t xml:space="preserve"> 联系电话：021-32169666-750</w:t>
      </w:r>
      <w:r>
        <w:rPr>
          <w:rFonts w:hint="eastAsia" w:ascii="宋体" w:hAnsi="宋体" w:eastAsia="宋体" w:cs="宋体"/>
          <w:lang w:val="en-US" w:eastAsia="zh-CN"/>
        </w:rPr>
        <w:t>7</w:t>
      </w:r>
      <w:r>
        <w:rPr>
          <w:rFonts w:hint="eastAsia" w:ascii="宋体" w:hAnsi="宋体" w:eastAsia="宋体" w:cs="宋体"/>
          <w:lang w:val="zh-CN"/>
        </w:rPr>
        <w:t>；</w:t>
      </w:r>
      <w:r>
        <w:rPr>
          <w:rFonts w:hint="eastAsia" w:ascii="宋体" w:hAnsi="宋体" w:eastAsia="宋体" w:cs="宋体"/>
        </w:rPr>
        <w:t>邮箱：wangb_206@bankcomm.com</w:t>
      </w:r>
    </w:p>
    <w:p>
      <w:pPr>
        <w:pStyle w:val="3"/>
        <w:overflowPunct w:val="0"/>
        <w:topLinePunct/>
        <w:ind w:left="106" w:right="203" w:firstLine="627"/>
        <w:rPr>
          <w:rFonts w:hint="eastAsia" w:ascii="宋体" w:hAnsi="宋体" w:eastAsia="宋体" w:cs="宋体"/>
        </w:rPr>
      </w:pPr>
      <w:r>
        <w:rPr>
          <w:rFonts w:hint="eastAsia" w:ascii="宋体" w:hAnsi="宋体" w:eastAsia="宋体" w:cs="宋体"/>
        </w:rPr>
        <w:t>集中</w:t>
      </w:r>
      <w:r>
        <w:rPr>
          <w:rFonts w:hint="eastAsia" w:ascii="宋体" w:hAnsi="宋体" w:eastAsia="宋体" w:cs="宋体"/>
          <w:lang w:val="zh-CN"/>
        </w:rPr>
        <w:t>采购实施部门联系人：</w:t>
      </w:r>
      <w:r>
        <w:rPr>
          <w:rFonts w:hint="eastAsia" w:ascii="宋体" w:hAnsi="宋体" w:eastAsia="宋体" w:cs="宋体"/>
          <w:lang w:val="en-US" w:eastAsia="zh-CN"/>
        </w:rPr>
        <w:t>陈莉瑶</w:t>
      </w:r>
      <w:r>
        <w:rPr>
          <w:rFonts w:hint="eastAsia" w:ascii="宋体" w:hAnsi="宋体" w:eastAsia="宋体" w:cs="宋体"/>
          <w:lang w:val="zh-CN"/>
        </w:rPr>
        <w:t xml:space="preserve"> 联系电话：021-32169666-75</w:t>
      </w:r>
      <w:r>
        <w:rPr>
          <w:rFonts w:hint="eastAsia" w:ascii="宋体" w:hAnsi="宋体" w:eastAsia="宋体" w:cs="宋体"/>
          <w:lang w:val="en-US" w:eastAsia="zh-CN"/>
        </w:rPr>
        <w:t>15</w:t>
      </w:r>
      <w:r>
        <w:rPr>
          <w:rFonts w:hint="eastAsia" w:ascii="宋体" w:hAnsi="宋体" w:eastAsia="宋体" w:cs="宋体"/>
          <w:lang w:val="zh-CN"/>
        </w:rPr>
        <w:t>；</w:t>
      </w:r>
      <w:r>
        <w:rPr>
          <w:rFonts w:hint="eastAsia" w:ascii="宋体" w:hAnsi="宋体" w:eastAsia="宋体" w:cs="宋体"/>
        </w:rPr>
        <w:t>邮箱：</w:t>
      </w:r>
      <w:r>
        <w:rPr>
          <w:rFonts w:hint="eastAsia" w:ascii="宋体" w:hAnsi="宋体" w:eastAsia="宋体" w:cs="宋体"/>
          <w:lang w:val="en-US" w:eastAsia="zh-CN"/>
        </w:rPr>
        <w:t>chenliyao_900</w:t>
      </w:r>
      <w:r>
        <w:rPr>
          <w:rFonts w:hint="eastAsia" w:ascii="宋体" w:hAnsi="宋体" w:eastAsia="宋体" w:cs="宋体"/>
        </w:rPr>
        <w:t>@bankcomm.com</w:t>
      </w:r>
    </w:p>
    <w:p>
      <w:pPr>
        <w:pStyle w:val="3"/>
        <w:overflowPunct w:val="0"/>
        <w:topLinePunct/>
        <w:ind w:left="106" w:right="203" w:firstLine="627"/>
        <w:rPr>
          <w:rFonts w:hint="eastAsia" w:ascii="宋体" w:hAnsi="宋体" w:eastAsia="宋体" w:cs="宋体"/>
          <w:lang w:val="zh-CN"/>
        </w:rPr>
      </w:pPr>
    </w:p>
    <w:p>
      <w:pPr>
        <w:autoSpaceDE w:val="0"/>
        <w:autoSpaceDN w:val="0"/>
        <w:adjustRightInd w:val="0"/>
        <w:spacing w:line="560" w:lineRule="atLeast"/>
        <w:ind w:firstLine="640"/>
        <w:jc w:val="right"/>
        <w:rPr>
          <w:rFonts w:hint="eastAsia" w:ascii="宋体" w:hAnsi="宋体" w:eastAsia="宋体" w:cs="宋体"/>
          <w:kern w:val="0"/>
          <w:sz w:val="32"/>
          <w:szCs w:val="32"/>
        </w:rPr>
      </w:pPr>
      <w:r>
        <w:rPr>
          <w:rFonts w:hint="eastAsia" w:ascii="宋体" w:hAnsi="宋体" w:eastAsia="宋体" w:cs="宋体"/>
          <w:kern w:val="0"/>
          <w:sz w:val="32"/>
          <w:szCs w:val="32"/>
          <w:lang w:val="zh-CN"/>
        </w:rPr>
        <w:t xml:space="preserve">                          </w:t>
      </w:r>
      <w:r>
        <w:rPr>
          <w:rFonts w:hint="eastAsia" w:ascii="宋体" w:hAnsi="宋体" w:eastAsia="宋体" w:cs="宋体"/>
          <w:kern w:val="0"/>
          <w:sz w:val="32"/>
          <w:szCs w:val="32"/>
          <w:lang w:val="zh-CN"/>
        </w:rPr>
        <w:t xml:space="preserve">            </w:t>
      </w:r>
      <w:r>
        <w:rPr>
          <w:rFonts w:hint="eastAsia" w:ascii="宋体" w:hAnsi="宋体" w:eastAsia="宋体" w:cs="宋体"/>
          <w:kern w:val="0"/>
          <w:sz w:val="32"/>
          <w:szCs w:val="32"/>
          <w:lang w:val="en-US" w:eastAsia="zh-CN"/>
        </w:rPr>
        <w:t xml:space="preserve">                                                                                                                                                                                           </w:t>
      </w:r>
      <w:r>
        <w:rPr>
          <w:rFonts w:hint="eastAsia" w:ascii="宋体" w:hAnsi="宋体" w:eastAsia="宋体" w:cs="宋体"/>
          <w:kern w:val="0"/>
          <w:sz w:val="32"/>
          <w:szCs w:val="32"/>
          <w:lang w:val="zh-CN"/>
        </w:rPr>
        <w:t xml:space="preserve">           </w:t>
      </w:r>
      <w:r>
        <w:rPr>
          <w:rFonts w:hint="eastAsia" w:ascii="宋体" w:hAnsi="宋体" w:eastAsia="宋体" w:cs="宋体"/>
          <w:kern w:val="0"/>
          <w:sz w:val="32"/>
          <w:szCs w:val="32"/>
        </w:rPr>
        <w:t xml:space="preserve">     </w:t>
      </w:r>
      <w:r>
        <w:rPr>
          <w:rFonts w:hint="eastAsia" w:ascii="宋体" w:hAnsi="宋体" w:eastAsia="宋体" w:cs="宋体"/>
          <w:kern w:val="0"/>
          <w:sz w:val="32"/>
          <w:szCs w:val="32"/>
          <w:lang w:val="zh-CN"/>
        </w:rPr>
        <w:t xml:space="preserve"> </w:t>
      </w:r>
      <w:r>
        <w:rPr>
          <w:rFonts w:hint="eastAsia" w:ascii="宋体" w:hAnsi="宋体" w:eastAsia="宋体" w:cs="宋体"/>
          <w:kern w:val="0"/>
          <w:sz w:val="32"/>
          <w:szCs w:val="32"/>
          <w:lang w:val="en-US" w:eastAsia="zh-CN"/>
        </w:rPr>
        <w:t>交银国际信托有限公司财务管理</w:t>
      </w:r>
      <w:r>
        <w:rPr>
          <w:rFonts w:hint="eastAsia" w:ascii="宋体" w:hAnsi="宋体" w:eastAsia="宋体" w:cs="宋体"/>
          <w:kern w:val="0"/>
          <w:sz w:val="32"/>
          <w:szCs w:val="32"/>
        </w:rPr>
        <w:t>部</w:t>
      </w:r>
    </w:p>
    <w:p>
      <w:pPr>
        <w:autoSpaceDE w:val="0"/>
        <w:autoSpaceDN w:val="0"/>
        <w:adjustRightInd w:val="0"/>
        <w:spacing w:line="560" w:lineRule="atLeast"/>
        <w:ind w:firstLine="640"/>
        <w:jc w:val="right"/>
        <w:rPr>
          <w:rFonts w:hint="eastAsia" w:ascii="宋体" w:hAnsi="宋体" w:eastAsia="宋体" w:cs="宋体"/>
        </w:rPr>
      </w:pPr>
      <w:r>
        <w:rPr>
          <w:rFonts w:hint="eastAsia" w:ascii="宋体" w:hAnsi="宋体" w:eastAsia="宋体" w:cs="宋体"/>
          <w:kern w:val="0"/>
          <w:sz w:val="32"/>
          <w:szCs w:val="32"/>
          <w:lang w:val="zh-CN"/>
        </w:rPr>
        <w:t xml:space="preserve">                              </w:t>
      </w:r>
      <w:r>
        <w:rPr>
          <w:rFonts w:hint="eastAsia" w:ascii="宋体" w:hAnsi="宋体" w:eastAsia="宋体" w:cs="宋体"/>
          <w:kern w:val="0"/>
          <w:sz w:val="32"/>
          <w:szCs w:val="32"/>
          <w:lang w:val="zh-CN"/>
        </w:rPr>
        <w:t xml:space="preserve">                        20</w:t>
      </w:r>
      <w:r>
        <w:rPr>
          <w:rFonts w:hint="eastAsia" w:ascii="宋体" w:hAnsi="宋体" w:eastAsia="宋体" w:cs="宋体"/>
          <w:kern w:val="0"/>
          <w:sz w:val="32"/>
          <w:szCs w:val="32"/>
        </w:rPr>
        <w:t>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lang w:val="zh-CN"/>
        </w:rPr>
        <w:t>年</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lang w:val="zh-CN"/>
        </w:rPr>
        <w:t>月</w:t>
      </w:r>
      <w:r>
        <w:rPr>
          <w:rFonts w:hint="eastAsia" w:ascii="宋体" w:hAnsi="宋体" w:eastAsia="宋体" w:cs="宋体"/>
          <w:kern w:val="0"/>
          <w:sz w:val="32"/>
          <w:szCs w:val="32"/>
          <w:lang w:val="en-US" w:eastAsia="zh-CN"/>
        </w:rPr>
        <w:t>17</w:t>
      </w:r>
      <w:r>
        <w:rPr>
          <w:rFonts w:hint="eastAsia" w:ascii="宋体" w:hAnsi="宋体" w:eastAsia="宋体" w:cs="宋体"/>
          <w:kern w:val="0"/>
          <w:sz w:val="32"/>
          <w:szCs w:val="32"/>
          <w:lang w:val="zh-CN"/>
        </w:rPr>
        <w:t>日</w:t>
      </w:r>
    </w:p>
    <w:bookmarkEnd w:id="0"/>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3C0041" w:csb1="A008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B7CCE"/>
    <w:rsid w:val="0004533F"/>
    <w:rsid w:val="00094FDD"/>
    <w:rsid w:val="001B5E87"/>
    <w:rsid w:val="001C14E9"/>
    <w:rsid w:val="005729FB"/>
    <w:rsid w:val="005B75E7"/>
    <w:rsid w:val="005D0D38"/>
    <w:rsid w:val="00637461"/>
    <w:rsid w:val="00647921"/>
    <w:rsid w:val="006F31B3"/>
    <w:rsid w:val="007815DA"/>
    <w:rsid w:val="008C75D3"/>
    <w:rsid w:val="00AC5624"/>
    <w:rsid w:val="00AC57AA"/>
    <w:rsid w:val="00B0093C"/>
    <w:rsid w:val="00B22214"/>
    <w:rsid w:val="00C04E2D"/>
    <w:rsid w:val="00C520B9"/>
    <w:rsid w:val="00C76CC3"/>
    <w:rsid w:val="00C90A5B"/>
    <w:rsid w:val="00CC4000"/>
    <w:rsid w:val="00EB2B74"/>
    <w:rsid w:val="00F76240"/>
    <w:rsid w:val="00FB7F33"/>
    <w:rsid w:val="01933276"/>
    <w:rsid w:val="08AF08E8"/>
    <w:rsid w:val="0A585C00"/>
    <w:rsid w:val="0AAD373D"/>
    <w:rsid w:val="11895843"/>
    <w:rsid w:val="1B212345"/>
    <w:rsid w:val="1D335797"/>
    <w:rsid w:val="22FD2589"/>
    <w:rsid w:val="26962772"/>
    <w:rsid w:val="2A4B7CCE"/>
    <w:rsid w:val="305448DF"/>
    <w:rsid w:val="310E3124"/>
    <w:rsid w:val="33D07594"/>
    <w:rsid w:val="3D993968"/>
    <w:rsid w:val="52F61CBE"/>
    <w:rsid w:val="5C4F5168"/>
    <w:rsid w:val="69CE4410"/>
    <w:rsid w:val="69E47039"/>
    <w:rsid w:val="6CE33FEC"/>
    <w:rsid w:val="7B5018D8"/>
    <w:rsid w:val="7C482A62"/>
    <w:rsid w:val="7E0F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unhideWhenUsed/>
    <w:qFormat/>
    <w:uiPriority w:val="1"/>
    <w:pPr>
      <w:autoSpaceDE w:val="0"/>
      <w:autoSpaceDN w:val="0"/>
      <w:adjustRightInd w:val="0"/>
      <w:ind w:left="107"/>
      <w:jc w:val="left"/>
    </w:pPr>
    <w:rPr>
      <w:rFonts w:ascii="方正仿宋_GBK" w:hAnsi="Times New Roman" w:eastAsia="方正仿宋_GBK" w:cs="方正仿宋_GBK"/>
      <w:kern w:val="0"/>
      <w:sz w:val="32"/>
      <w:szCs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kern w:val="0"/>
      <w:sz w:val="24"/>
      <w:szCs w:val="24"/>
    </w:rPr>
  </w:style>
  <w:style w:type="character" w:customStyle="1" w:styleId="9">
    <w:name w:val="页眉 Char"/>
    <w:basedOn w:val="8"/>
    <w:link w:val="5"/>
    <w:qFormat/>
    <w:uiPriority w:val="0"/>
    <w:rPr>
      <w:rFonts w:ascii="Calibri" w:hAnsi="Calibri"/>
      <w:kern w:val="2"/>
      <w:sz w:val="18"/>
      <w:szCs w:val="18"/>
    </w:rPr>
  </w:style>
  <w:style w:type="character" w:customStyle="1" w:styleId="10">
    <w:name w:val="页脚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484</Words>
  <Characters>597</Characters>
  <Lines>5</Lines>
  <Paragraphs>1</Paragraphs>
  <TotalTime>4</TotalTime>
  <ScaleCrop>false</ScaleCrop>
  <LinksUpToDate>false</LinksUpToDate>
  <CharactersWithSpaces>896</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2025-05-23T06:16:00Z</dcterms:created>
  <dc:creator>袁跃文</dc:creator>
  <cp:lastModifiedBy>王佳祎</cp:lastModifiedBy>
  <dcterms:modified xsi:type="dcterms:W3CDTF">2026-06-17T02:30:45Z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67F36FA4AABA4DAA90621E78463EBD1D</vt:lpwstr>
  </property>
</Properties>
</file>