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kern w:val="0"/>
          <w:sz w:val="44"/>
          <w:szCs w:val="44"/>
          <w:lang w:val="zh-CN"/>
        </w:rPr>
      </w:pPr>
      <w:bookmarkStart w:id="0" w:name="_GoBack"/>
      <w:r>
        <w:rPr>
          <w:rFonts w:hint="eastAsia" w:ascii="宋体" w:hAnsi="宋体" w:eastAsia="宋体" w:cs="宋体"/>
          <w:kern w:val="0"/>
          <w:sz w:val="44"/>
          <w:szCs w:val="44"/>
        </w:rPr>
        <w:t>交银国信集中采购</w:t>
      </w:r>
      <w:r>
        <w:rPr>
          <w:rFonts w:hint="eastAsia" w:ascii="宋体" w:hAnsi="宋体" w:eastAsia="宋体" w:cs="宋体"/>
          <w:kern w:val="0"/>
          <w:sz w:val="44"/>
          <w:szCs w:val="44"/>
          <w:lang w:val="zh-CN"/>
        </w:rPr>
        <w:t>单一来源采购公示</w:t>
      </w:r>
    </w:p>
    <w:p>
      <w:pPr>
        <w:jc w:val="center"/>
        <w:rPr>
          <w:rFonts w:hint="eastAsia" w:ascii="宋体" w:hAnsi="宋体" w:eastAsia="宋体" w:cs="宋体"/>
          <w:spacing w:val="-12"/>
          <w:sz w:val="44"/>
          <w:szCs w:val="44"/>
        </w:rPr>
      </w:pPr>
      <w:r>
        <w:rPr>
          <w:rFonts w:hint="eastAsia" w:ascii="宋体" w:hAnsi="宋体" w:eastAsia="宋体" w:cs="宋体"/>
          <w:kern w:val="0"/>
          <w:sz w:val="44"/>
          <w:szCs w:val="44"/>
          <w:lang w:val="zh-CN"/>
        </w:rPr>
        <w:t>（</w:t>
      </w:r>
      <w:r>
        <w:rPr>
          <w:rFonts w:hint="eastAsia" w:ascii="宋体" w:hAnsi="宋体" w:eastAsia="宋体" w:cs="宋体"/>
          <w:kern w:val="0"/>
          <w:sz w:val="44"/>
          <w:szCs w:val="44"/>
        </w:rPr>
        <w:t>第</w:t>
      </w:r>
      <w:r>
        <w:rPr>
          <w:rFonts w:hint="eastAsia" w:ascii="宋体" w:hAnsi="宋体" w:eastAsia="宋体" w:cs="宋体"/>
          <w:kern w:val="0"/>
          <w:sz w:val="44"/>
          <w:szCs w:val="44"/>
          <w:lang w:val="en-US" w:eastAsia="zh-CN"/>
        </w:rPr>
        <w:t>6</w:t>
      </w:r>
      <w:r>
        <w:rPr>
          <w:rFonts w:hint="eastAsia" w:ascii="宋体" w:hAnsi="宋体" w:eastAsia="宋体" w:cs="宋体"/>
          <w:kern w:val="0"/>
          <w:sz w:val="44"/>
          <w:szCs w:val="44"/>
        </w:rPr>
        <w:t>次）</w:t>
      </w:r>
    </w:p>
    <w:p>
      <w:pPr>
        <w:autoSpaceDE w:val="0"/>
        <w:autoSpaceDN w:val="0"/>
        <w:adjustRightInd w:val="0"/>
        <w:spacing w:line="560" w:lineRule="atLeast"/>
        <w:ind w:firstLine="640"/>
        <w:jc w:val="left"/>
        <w:rPr>
          <w:rFonts w:hint="eastAsia" w:ascii="宋体" w:hAnsi="宋体" w:eastAsia="宋体" w:cs="宋体"/>
          <w:kern w:val="0"/>
          <w:sz w:val="32"/>
          <w:szCs w:val="32"/>
          <w:lang w:val="zh-CN"/>
        </w:rPr>
      </w:pPr>
    </w:p>
    <w:p>
      <w:pPr>
        <w:autoSpaceDE w:val="0"/>
        <w:autoSpaceDN w:val="0"/>
        <w:adjustRightInd w:val="0"/>
        <w:spacing w:line="560" w:lineRule="atLeast"/>
        <w:ind w:firstLine="640"/>
        <w:jc w:val="left"/>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根据《</w:t>
      </w:r>
      <w:r>
        <w:rPr>
          <w:rFonts w:hint="eastAsia" w:ascii="宋体" w:hAnsi="宋体" w:eastAsia="宋体" w:cs="宋体"/>
          <w:bCs/>
          <w:kern w:val="0"/>
          <w:sz w:val="32"/>
          <w:szCs w:val="32"/>
        </w:rPr>
        <w:t>交银国信集中采购管理办法（2024年版）</w:t>
      </w:r>
      <w:r>
        <w:rPr>
          <w:rFonts w:hint="eastAsia" w:ascii="宋体" w:hAnsi="宋体" w:eastAsia="宋体" w:cs="宋体"/>
          <w:kern w:val="0"/>
          <w:sz w:val="32"/>
          <w:szCs w:val="32"/>
          <w:lang w:val="zh-CN"/>
        </w:rPr>
        <w:t>》的相关规定和202</w:t>
      </w:r>
      <w:r>
        <w:rPr>
          <w:rFonts w:hint="eastAsia" w:ascii="宋体" w:hAnsi="宋体" w:eastAsia="宋体" w:cs="宋体"/>
          <w:kern w:val="0"/>
          <w:sz w:val="32"/>
          <w:szCs w:val="32"/>
        </w:rPr>
        <w:t>5</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12</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9</w:t>
      </w:r>
      <w:r>
        <w:rPr>
          <w:rFonts w:hint="eastAsia" w:ascii="宋体" w:hAnsi="宋体" w:eastAsia="宋体" w:cs="宋体"/>
          <w:kern w:val="0"/>
          <w:sz w:val="32"/>
          <w:szCs w:val="32"/>
          <w:lang w:val="zh-CN"/>
        </w:rPr>
        <w:t>日</w:t>
      </w:r>
      <w:r>
        <w:rPr>
          <w:rFonts w:hint="eastAsia" w:ascii="宋体" w:hAnsi="宋体" w:eastAsia="宋体" w:cs="宋体"/>
          <w:kern w:val="0"/>
          <w:sz w:val="32"/>
          <w:szCs w:val="32"/>
        </w:rPr>
        <w:t>第</w:t>
      </w:r>
      <w:r>
        <w:rPr>
          <w:rFonts w:hint="eastAsia" w:ascii="宋体" w:hAnsi="宋体" w:eastAsia="宋体" w:cs="宋体"/>
          <w:kern w:val="0"/>
          <w:sz w:val="32"/>
          <w:szCs w:val="32"/>
          <w:lang w:val="en-US" w:eastAsia="zh-CN"/>
        </w:rPr>
        <w:t>9</w:t>
      </w:r>
      <w:r>
        <w:rPr>
          <w:rFonts w:hint="eastAsia" w:ascii="宋体" w:hAnsi="宋体" w:eastAsia="宋体" w:cs="宋体"/>
          <w:kern w:val="0"/>
          <w:sz w:val="32"/>
          <w:szCs w:val="32"/>
        </w:rPr>
        <w:t>次</w:t>
      </w:r>
      <w:r>
        <w:rPr>
          <w:rFonts w:hint="eastAsia" w:ascii="宋体" w:hAnsi="宋体" w:eastAsia="宋体" w:cs="宋体"/>
          <w:kern w:val="0"/>
          <w:sz w:val="32"/>
          <w:szCs w:val="32"/>
          <w:lang w:val="zh-CN"/>
        </w:rPr>
        <w:t>集中采购管理委员会决议，对综合业务系统补充建设</w:t>
      </w:r>
      <w:r>
        <w:rPr>
          <w:rFonts w:hint="eastAsia" w:ascii="宋体" w:hAnsi="宋体" w:eastAsia="宋体" w:cs="宋体"/>
          <w:kern w:val="0"/>
          <w:sz w:val="32"/>
          <w:szCs w:val="32"/>
          <w:lang w:val="en-US" w:eastAsia="zh-CN"/>
        </w:rPr>
        <w:t>项目、</w:t>
      </w:r>
      <w:r>
        <w:rPr>
          <w:rFonts w:hint="eastAsia" w:ascii="宋体" w:hAnsi="宋体" w:eastAsia="宋体" w:cs="宋体"/>
          <w:kern w:val="0"/>
          <w:sz w:val="32"/>
          <w:szCs w:val="32"/>
          <w:lang w:val="zh-CN"/>
        </w:rPr>
        <w:t>2025年家族相关系统优化开发系统维护服务</w:t>
      </w:r>
      <w:r>
        <w:rPr>
          <w:rFonts w:hint="eastAsia" w:ascii="宋体" w:hAnsi="宋体" w:eastAsia="宋体" w:cs="宋体"/>
          <w:kern w:val="0"/>
          <w:sz w:val="32"/>
          <w:szCs w:val="32"/>
          <w:lang w:val="en-US" w:eastAsia="zh-CN"/>
        </w:rPr>
        <w:t>项目及</w:t>
      </w:r>
      <w:r>
        <w:rPr>
          <w:rFonts w:hint="eastAsia" w:ascii="宋体" w:hAnsi="宋体" w:eastAsia="宋体" w:cs="宋体"/>
          <w:kern w:val="0"/>
          <w:sz w:val="32"/>
          <w:szCs w:val="32"/>
          <w:lang w:val="zh-CN"/>
        </w:rPr>
        <w:t>交银国信2025年度消金京东对接采购项目进行单一来源采购公示。</w:t>
      </w:r>
    </w:p>
    <w:tbl>
      <w:tblPr>
        <w:tblStyle w:val="7"/>
        <w:tblpPr w:leftFromText="180" w:rightFromText="180" w:vertAnchor="text" w:horzAnchor="margin" w:tblpXSpec="center" w:tblpY="6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80"/>
        <w:gridCol w:w="1655"/>
        <w:gridCol w:w="2281"/>
        <w:gridCol w:w="2025"/>
        <w:gridCol w:w="1660"/>
        <w:gridCol w:w="4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trPr>
        <w:tc>
          <w:tcPr>
            <w:tcW w:w="1526"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请购单编号</w:t>
            </w:r>
          </w:p>
        </w:tc>
        <w:tc>
          <w:tcPr>
            <w:tcW w:w="118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采购申请部门</w:t>
            </w:r>
          </w:p>
        </w:tc>
        <w:tc>
          <w:tcPr>
            <w:tcW w:w="165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采购项目/采购内容</w:t>
            </w:r>
          </w:p>
        </w:tc>
        <w:tc>
          <w:tcPr>
            <w:tcW w:w="2281"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lang w:val="zh-CN"/>
              </w:rPr>
              <w:t>拟采购商品</w:t>
            </w:r>
            <w:r>
              <w:rPr>
                <w:rFonts w:hint="eastAsia" w:ascii="宋体" w:hAnsi="宋体" w:eastAsia="宋体" w:cs="宋体"/>
                <w:b/>
                <w:lang w:val="en-US" w:eastAsia="zh-CN"/>
              </w:rPr>
              <w:t>/服务</w:t>
            </w:r>
            <w:r>
              <w:rPr>
                <w:rFonts w:hint="eastAsia" w:ascii="宋体" w:hAnsi="宋体" w:eastAsia="宋体" w:cs="宋体"/>
                <w:b/>
                <w:lang w:val="zh-CN"/>
              </w:rPr>
              <w:t>信息</w:t>
            </w:r>
          </w:p>
        </w:tc>
        <w:tc>
          <w:tcPr>
            <w:tcW w:w="202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拟定供应商名称</w:t>
            </w:r>
          </w:p>
        </w:tc>
        <w:tc>
          <w:tcPr>
            <w:tcW w:w="166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供应商地址</w:t>
            </w:r>
          </w:p>
        </w:tc>
        <w:tc>
          <w:tcPr>
            <w:tcW w:w="424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单一来源理由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2" w:hRule="atLeast"/>
        </w:trPr>
        <w:tc>
          <w:tcPr>
            <w:tcW w:w="1526"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rPr>
              <w:t xml:space="preserve">CGSQ31099925120001 </w:t>
            </w:r>
          </w:p>
        </w:tc>
        <w:tc>
          <w:tcPr>
            <w:tcW w:w="1180"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rPr>
              <w:t>信息科技部</w:t>
            </w:r>
          </w:p>
        </w:tc>
        <w:tc>
          <w:tcPr>
            <w:tcW w:w="1655" w:type="dxa"/>
            <w:vAlign w:val="center"/>
          </w:tcPr>
          <w:p>
            <w:pPr>
              <w:pStyle w:val="6"/>
              <w:widowControl/>
              <w:spacing w:before="76" w:after="302" w:line="32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综合业务系统补充建设</w:t>
            </w:r>
            <w:r>
              <w:rPr>
                <w:rFonts w:hint="eastAsia" w:ascii="宋体" w:hAnsi="宋体" w:eastAsia="宋体" w:cs="宋体"/>
                <w:sz w:val="28"/>
                <w:szCs w:val="28"/>
                <w:lang w:val="en-US" w:eastAsia="zh-CN"/>
              </w:rPr>
              <w:t>项目</w:t>
            </w:r>
          </w:p>
        </w:tc>
        <w:tc>
          <w:tcPr>
            <w:tcW w:w="2281"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项目内容主要是基于原有综合系统整体架构和数据基础上进行系统补充建设在原有系统基础上进行功能扩展或升级。采购有效期为一年。</w:t>
            </w:r>
          </w:p>
        </w:tc>
        <w:tc>
          <w:tcPr>
            <w:tcW w:w="2025" w:type="dxa"/>
            <w:vAlign w:val="center"/>
          </w:tcPr>
          <w:p>
            <w:pPr>
              <w:pStyle w:val="2"/>
              <w:overflowPunct w:val="0"/>
              <w:topLinePunct/>
              <w:spacing w:line="320" w:lineRule="exact"/>
              <w:ind w:left="0"/>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恒生电子股份有限公司</w:t>
            </w:r>
          </w:p>
        </w:tc>
        <w:tc>
          <w:tcPr>
            <w:tcW w:w="1660" w:type="dxa"/>
            <w:vAlign w:val="center"/>
          </w:tcPr>
          <w:p>
            <w:pPr>
              <w:pStyle w:val="2"/>
              <w:overflowPunct w:val="0"/>
              <w:topLinePunct/>
              <w:spacing w:line="320" w:lineRule="exact"/>
              <w:ind w:left="0"/>
              <w:jc w:val="center"/>
              <w:rPr>
                <w:rFonts w:hint="eastAsia" w:ascii="宋体" w:hAnsi="宋体" w:eastAsia="宋体" w:cs="宋体"/>
                <w:sz w:val="28"/>
                <w:szCs w:val="28"/>
                <w:lang w:val="en-US" w:eastAsia="zh-CN"/>
              </w:rPr>
            </w:pPr>
            <w:r>
              <w:rPr>
                <w:rFonts w:hint="eastAsia" w:ascii="宋体" w:hAnsi="宋体" w:eastAsia="宋体" w:cs="宋体"/>
                <w:sz w:val="28"/>
                <w:szCs w:val="28"/>
              </w:rPr>
              <w:t>注册地址</w:t>
            </w:r>
            <w:r>
              <w:rPr>
                <w:rFonts w:hint="eastAsia" w:ascii="宋体" w:hAnsi="宋体" w:eastAsia="宋体" w:cs="宋体"/>
                <w:sz w:val="28"/>
                <w:szCs w:val="28"/>
                <w:lang w:val="en-US" w:eastAsia="zh-CN"/>
              </w:rPr>
              <w:t>浙江省杭州市滨江区江南大道3588号恒生大厦11楼</w:t>
            </w:r>
          </w:p>
        </w:tc>
        <w:tc>
          <w:tcPr>
            <w:tcW w:w="4240" w:type="dxa"/>
            <w:vAlign w:val="center"/>
          </w:tcPr>
          <w:p>
            <w:pPr>
              <w:pStyle w:val="2"/>
              <w:overflowPunct w:val="0"/>
              <w:topLinePunct/>
              <w:spacing w:line="320" w:lineRule="exact"/>
              <w:ind w:left="0"/>
              <w:rPr>
                <w:rFonts w:hint="eastAsia" w:ascii="宋体" w:hAnsi="宋体" w:eastAsia="宋体" w:cs="宋体"/>
                <w:sz w:val="28"/>
                <w:szCs w:val="28"/>
              </w:rPr>
            </w:pPr>
          </w:p>
          <w:p>
            <w:pPr>
              <w:pStyle w:val="2"/>
              <w:overflowPunct w:val="0"/>
              <w:topLinePunct/>
              <w:spacing w:line="320" w:lineRule="exact"/>
              <w:ind w:left="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项目</w:t>
            </w:r>
            <w:r>
              <w:rPr>
                <w:rFonts w:hint="eastAsia" w:ascii="宋体" w:hAnsi="宋体" w:eastAsia="宋体" w:cs="宋体"/>
                <w:sz w:val="28"/>
                <w:szCs w:val="28"/>
              </w:rPr>
              <w:t>符合单一来源方式采购要求，属于为</w:t>
            </w:r>
            <w:r>
              <w:rPr>
                <w:rFonts w:hint="eastAsia" w:ascii="宋体" w:hAnsi="宋体" w:eastAsia="宋体" w:cs="宋体"/>
                <w:bCs/>
                <w:spacing w:val="-12"/>
                <w:sz w:val="28"/>
                <w:szCs w:val="28"/>
              </w:rPr>
              <w:t>保证原有采购项目一致性或者服务配套的要求，需要再次向原供应商处采购的情况。2、恒生电子从2012年起就是交银</w:t>
            </w:r>
            <w:r>
              <w:rPr>
                <w:rFonts w:hint="eastAsia" w:ascii="宋体" w:hAnsi="宋体" w:eastAsia="宋体" w:cs="宋体"/>
                <w:bCs/>
                <w:spacing w:val="-12"/>
                <w:sz w:val="28"/>
                <w:szCs w:val="28"/>
                <w:lang w:val="en-US" w:eastAsia="zh-CN"/>
              </w:rPr>
              <w:t>国信</w:t>
            </w:r>
            <w:r>
              <w:rPr>
                <w:rFonts w:hint="eastAsia" w:ascii="宋体" w:hAnsi="宋体" w:eastAsia="宋体" w:cs="宋体"/>
                <w:bCs/>
                <w:spacing w:val="-12"/>
                <w:sz w:val="28"/>
                <w:szCs w:val="28"/>
              </w:rPr>
              <w:t>综合业务系统的开发商，从开始到现在和交银</w:t>
            </w:r>
            <w:r>
              <w:rPr>
                <w:rFonts w:hint="eastAsia" w:ascii="宋体" w:hAnsi="宋体" w:eastAsia="宋体" w:cs="宋体"/>
                <w:bCs/>
                <w:spacing w:val="-12"/>
                <w:sz w:val="28"/>
                <w:szCs w:val="28"/>
                <w:lang w:val="en-US" w:eastAsia="zh-CN"/>
              </w:rPr>
              <w:t>国信</w:t>
            </w:r>
            <w:r>
              <w:rPr>
                <w:rFonts w:hint="eastAsia" w:ascii="宋体" w:hAnsi="宋体" w:eastAsia="宋体" w:cs="宋体"/>
                <w:bCs/>
                <w:spacing w:val="-12"/>
                <w:sz w:val="28"/>
                <w:szCs w:val="28"/>
              </w:rPr>
              <w:t>一直保持着良好的合作关系，系统从使用起至今整体运营情况良好</w:t>
            </w:r>
            <w:r>
              <w:rPr>
                <w:rFonts w:hint="eastAsia" w:ascii="宋体" w:hAnsi="宋体" w:eastAsia="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7" w:hRule="atLeast"/>
        </w:trPr>
        <w:tc>
          <w:tcPr>
            <w:tcW w:w="1526"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CGSQ31099925120003</w:t>
            </w:r>
          </w:p>
        </w:tc>
        <w:tc>
          <w:tcPr>
            <w:tcW w:w="1180"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信息科技部</w:t>
            </w:r>
          </w:p>
        </w:tc>
        <w:tc>
          <w:tcPr>
            <w:tcW w:w="1655"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2025年家族相关系统优化开发系统维护服务项目</w:t>
            </w:r>
          </w:p>
        </w:tc>
        <w:tc>
          <w:tcPr>
            <w:tcW w:w="2281"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项目主要是为公司家族相关系统进行开发优化及系统维护，涉及银行系统对接升级，开发AI双录等功能。采购有效期为一年。</w:t>
            </w:r>
          </w:p>
        </w:tc>
        <w:tc>
          <w:tcPr>
            <w:tcW w:w="2025" w:type="dxa"/>
            <w:vAlign w:val="center"/>
          </w:tcPr>
          <w:p>
            <w:pPr>
              <w:spacing w:line="320" w:lineRule="exac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深圳中顺易金融服务有限公司</w:t>
            </w:r>
          </w:p>
          <w:p>
            <w:pPr>
              <w:pStyle w:val="2"/>
              <w:overflowPunct w:val="0"/>
              <w:topLinePunct/>
              <w:spacing w:line="320" w:lineRule="exact"/>
              <w:ind w:left="0"/>
              <w:jc w:val="center"/>
              <w:rPr>
                <w:rFonts w:hint="eastAsia" w:ascii="宋体" w:hAnsi="宋体" w:eastAsia="宋体" w:cs="宋体"/>
                <w:sz w:val="28"/>
                <w:szCs w:val="28"/>
                <w:lang w:val="en-US" w:eastAsia="zh-CN"/>
              </w:rPr>
            </w:pPr>
          </w:p>
        </w:tc>
        <w:tc>
          <w:tcPr>
            <w:tcW w:w="1660" w:type="dxa"/>
            <w:vAlign w:val="center"/>
          </w:tcPr>
          <w:p>
            <w:pPr>
              <w:spacing w:line="320" w:lineRule="exac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注册地址深圳市前海深港合作区前湾一路1号A栋201室</w:t>
            </w:r>
          </w:p>
          <w:p>
            <w:pPr>
              <w:rPr>
                <w:rFonts w:hint="eastAsia" w:ascii="宋体" w:hAnsi="宋体" w:eastAsia="宋体" w:cs="宋体"/>
                <w:lang w:val="en-US" w:eastAsia="zh-CN"/>
              </w:rPr>
            </w:pPr>
          </w:p>
        </w:tc>
        <w:tc>
          <w:tcPr>
            <w:tcW w:w="4240" w:type="dxa"/>
            <w:vAlign w:val="center"/>
          </w:tcPr>
          <w:p>
            <w:pPr>
              <w:pStyle w:val="2"/>
              <w:overflowPunct w:val="0"/>
              <w:topLinePunct/>
              <w:spacing w:line="320" w:lineRule="exact"/>
              <w:ind w:left="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项目</w:t>
            </w:r>
            <w:r>
              <w:rPr>
                <w:rFonts w:hint="eastAsia" w:ascii="宋体" w:hAnsi="宋体" w:eastAsia="宋体" w:cs="宋体"/>
                <w:sz w:val="28"/>
                <w:szCs w:val="28"/>
              </w:rPr>
              <w:t>符合单一来源方式采购要求，属于为保证原有采购项目一致性或者服务配套的要求，需要再次向原供应商处采购的情况。2、</w:t>
            </w:r>
            <w:r>
              <w:rPr>
                <w:rFonts w:hint="eastAsia" w:ascii="宋体" w:hAnsi="宋体" w:eastAsia="宋体" w:cs="宋体"/>
                <w:sz w:val="28"/>
                <w:szCs w:val="28"/>
                <w:lang w:val="en-US" w:eastAsia="zh-CN"/>
              </w:rPr>
              <w:t>中顺易自2021年起为公司家族信托业务的系统开发商，通过系统建设高效助力交银国信业务快速扩张和推进，并与交银国信一直保持协作共赢的的良好合作关系，系统投产至今整体运行平稳，运营状况良好。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7" w:hRule="atLeast"/>
        </w:trPr>
        <w:tc>
          <w:tcPr>
            <w:tcW w:w="1526"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CGSQ31099925120002</w:t>
            </w:r>
          </w:p>
        </w:tc>
        <w:tc>
          <w:tcPr>
            <w:tcW w:w="1180"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信息科技部</w:t>
            </w:r>
          </w:p>
        </w:tc>
        <w:tc>
          <w:tcPr>
            <w:tcW w:w="1655"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交银国信2025年度消金京东对接采购项目</w:t>
            </w:r>
          </w:p>
        </w:tc>
        <w:tc>
          <w:tcPr>
            <w:tcW w:w="2281"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项目内容主要基于原有消金综合业务系统整体架构和数据基础上，补充建设消金京东对接模块。</w:t>
            </w:r>
          </w:p>
        </w:tc>
        <w:tc>
          <w:tcPr>
            <w:tcW w:w="2025" w:type="dxa"/>
            <w:vAlign w:val="center"/>
          </w:tcPr>
          <w:p>
            <w:pPr>
              <w:pStyle w:val="2"/>
              <w:overflowPunct w:val="0"/>
              <w:topLinePunct/>
              <w:spacing w:line="320" w:lineRule="exact"/>
              <w:ind w:lef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东华软件股份有限公司</w:t>
            </w:r>
          </w:p>
        </w:tc>
        <w:tc>
          <w:tcPr>
            <w:tcW w:w="1660" w:type="dxa"/>
            <w:vAlign w:val="center"/>
          </w:tcPr>
          <w:p>
            <w:pPr>
              <w:pStyle w:val="2"/>
              <w:overflowPunct w:val="0"/>
              <w:topLinePunct/>
              <w:spacing w:line="320" w:lineRule="exact"/>
              <w:ind w:lef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北京市海淀区紫金数码园3号楼15层1501</w:t>
            </w:r>
          </w:p>
        </w:tc>
        <w:tc>
          <w:tcPr>
            <w:tcW w:w="4240" w:type="dxa"/>
            <w:vAlign w:val="center"/>
          </w:tcPr>
          <w:p>
            <w:pPr>
              <w:pStyle w:val="2"/>
              <w:overflowPunct w:val="0"/>
              <w:topLinePunct/>
              <w:spacing w:line="320" w:lineRule="exact"/>
              <w:ind w:left="0"/>
              <w:rPr>
                <w:rFonts w:hint="eastAsia" w:ascii="宋体" w:hAnsi="宋体" w:eastAsia="宋体" w:cs="宋体"/>
                <w:sz w:val="28"/>
                <w:szCs w:val="28"/>
                <w:lang w:val="en-US"/>
              </w:rPr>
            </w:pPr>
            <w:r>
              <w:rPr>
                <w:rFonts w:hint="eastAsia" w:ascii="宋体" w:hAnsi="宋体" w:eastAsia="宋体" w:cs="宋体"/>
                <w:sz w:val="28"/>
                <w:szCs w:val="28"/>
              </w:rPr>
              <w:t>1、</w:t>
            </w:r>
            <w:r>
              <w:rPr>
                <w:rFonts w:hint="eastAsia" w:ascii="宋体" w:hAnsi="宋体" w:eastAsia="宋体" w:cs="宋体"/>
                <w:sz w:val="28"/>
                <w:szCs w:val="28"/>
                <w:lang w:val="en-US" w:eastAsia="zh-CN"/>
              </w:rPr>
              <w:t>项目</w:t>
            </w:r>
            <w:r>
              <w:rPr>
                <w:rFonts w:hint="eastAsia" w:ascii="宋体" w:hAnsi="宋体" w:eastAsia="宋体" w:cs="宋体"/>
                <w:sz w:val="28"/>
                <w:szCs w:val="28"/>
              </w:rPr>
              <w:t>符合单一来源方式采购要求，属于为保证原有采购项目一致性或者服务配套的要求，需要再次向原供应商处采购的情况。2、</w:t>
            </w:r>
            <w:r>
              <w:rPr>
                <w:rFonts w:hint="eastAsia" w:ascii="宋体" w:hAnsi="宋体" w:eastAsia="宋体" w:cs="宋体"/>
                <w:sz w:val="28"/>
                <w:szCs w:val="28"/>
                <w:lang w:val="en-US" w:eastAsia="zh-CN"/>
              </w:rPr>
              <w:t>东华软件自2025年起成为交银国信消金综合业务系统开发商，公司通过系统建设有力支持了交银国信的消费金融业务开展，一直保持协作共赢的良好合作关系，系统投产至今整体运行平稳，运营状况良好。</w:t>
            </w:r>
          </w:p>
        </w:tc>
      </w:tr>
    </w:tbl>
    <w:p>
      <w:pPr>
        <w:pStyle w:val="2"/>
        <w:overflowPunct w:val="0"/>
        <w:topLinePunct/>
        <w:ind w:left="0" w:firstLine="800" w:firstLineChars="250"/>
        <w:rPr>
          <w:rFonts w:hint="eastAsia" w:ascii="宋体" w:hAnsi="宋体" w:eastAsia="宋体" w:cs="宋体"/>
          <w:lang w:val="zh-CN"/>
        </w:rPr>
      </w:pPr>
    </w:p>
    <w:p>
      <w:pPr>
        <w:pStyle w:val="2"/>
        <w:overflowPunct w:val="0"/>
        <w:topLinePunct/>
        <w:ind w:left="0" w:firstLine="800" w:firstLineChars="250"/>
        <w:rPr>
          <w:rFonts w:hint="eastAsia" w:ascii="宋体" w:hAnsi="宋体" w:eastAsia="宋体" w:cs="宋体"/>
          <w:lang w:val="zh-CN"/>
        </w:rPr>
      </w:pPr>
      <w:r>
        <w:rPr>
          <w:rFonts w:hint="eastAsia" w:ascii="宋体" w:hAnsi="宋体" w:eastAsia="宋体" w:cs="宋体"/>
          <w:lang w:val="zh-CN"/>
        </w:rPr>
        <w:t>对上述项目采取</w:t>
      </w:r>
      <w:r>
        <w:rPr>
          <w:rFonts w:hint="eastAsia" w:ascii="宋体" w:hAnsi="宋体" w:eastAsia="宋体" w:cs="宋体"/>
        </w:rPr>
        <w:t>单一来源采购方式</w:t>
      </w:r>
      <w:r>
        <w:rPr>
          <w:rFonts w:hint="eastAsia" w:ascii="宋体" w:hAnsi="宋体" w:eastAsia="宋体" w:cs="宋体"/>
          <w:lang w:val="zh-CN"/>
        </w:rPr>
        <w:t>有异议的，可自本公示发布之日起5日内，向下列有关部门反映：</w:t>
      </w:r>
    </w:p>
    <w:p>
      <w:pPr>
        <w:pStyle w:val="2"/>
        <w:overflowPunct w:val="0"/>
        <w:topLinePunct/>
        <w:ind w:left="106" w:right="203" w:firstLine="627"/>
        <w:rPr>
          <w:rFonts w:hint="eastAsia" w:ascii="宋体" w:hAnsi="宋体" w:eastAsia="宋体" w:cs="宋体"/>
          <w:lang w:val="zh-CN"/>
        </w:rPr>
      </w:pPr>
    </w:p>
    <w:p>
      <w:pPr>
        <w:pStyle w:val="2"/>
        <w:overflowPunct w:val="0"/>
        <w:topLinePunct/>
        <w:ind w:left="106" w:right="203" w:firstLine="627"/>
        <w:rPr>
          <w:rFonts w:hint="eastAsia" w:ascii="宋体" w:hAnsi="宋体" w:eastAsia="宋体" w:cs="宋体"/>
          <w:lang w:val="zh-CN"/>
        </w:rPr>
      </w:pPr>
    </w:p>
    <w:p>
      <w:pPr>
        <w:pStyle w:val="2"/>
        <w:overflowPunct w:val="0"/>
        <w:topLinePunct/>
        <w:ind w:left="106" w:right="203" w:firstLine="627"/>
        <w:rPr>
          <w:rFonts w:hint="eastAsia" w:ascii="宋体" w:hAnsi="宋体" w:eastAsia="宋体" w:cs="宋体"/>
        </w:rPr>
      </w:pPr>
      <w:r>
        <w:rPr>
          <w:rFonts w:hint="eastAsia" w:ascii="宋体" w:hAnsi="宋体" w:eastAsia="宋体" w:cs="宋体"/>
          <w:lang w:val="zh-CN"/>
        </w:rPr>
        <w:t>集中采购管理委员会办公室联系人：</w:t>
      </w:r>
      <w:r>
        <w:rPr>
          <w:rFonts w:hint="eastAsia" w:ascii="宋体" w:hAnsi="宋体" w:eastAsia="宋体" w:cs="宋体"/>
          <w:lang w:val="en-US" w:eastAsia="zh-CN"/>
        </w:rPr>
        <w:t>王冰</w:t>
      </w:r>
      <w:r>
        <w:rPr>
          <w:rFonts w:hint="eastAsia" w:ascii="宋体" w:hAnsi="宋体" w:eastAsia="宋体" w:cs="宋体"/>
          <w:lang w:val="zh-CN"/>
        </w:rPr>
        <w:t xml:space="preserve"> 联系电话：021-32169666-750</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rPr>
        <w:t>邮箱：wangb_206@bankcomm.com</w:t>
      </w:r>
    </w:p>
    <w:p>
      <w:pPr>
        <w:pStyle w:val="2"/>
        <w:overflowPunct w:val="0"/>
        <w:topLinePunct/>
        <w:ind w:left="106" w:right="203" w:firstLine="627"/>
        <w:rPr>
          <w:rFonts w:hint="eastAsia" w:ascii="宋体" w:hAnsi="宋体" w:eastAsia="宋体" w:cs="宋体"/>
        </w:rPr>
      </w:pPr>
      <w:r>
        <w:rPr>
          <w:rFonts w:hint="eastAsia" w:ascii="宋体" w:hAnsi="宋体" w:eastAsia="宋体" w:cs="宋体"/>
        </w:rPr>
        <w:t>集中</w:t>
      </w:r>
      <w:r>
        <w:rPr>
          <w:rFonts w:hint="eastAsia" w:ascii="宋体" w:hAnsi="宋体" w:eastAsia="宋体" w:cs="宋体"/>
          <w:lang w:val="zh-CN"/>
        </w:rPr>
        <w:t>采购实施部门联系人：</w:t>
      </w:r>
      <w:r>
        <w:rPr>
          <w:rFonts w:hint="eastAsia" w:ascii="宋体" w:hAnsi="宋体" w:eastAsia="宋体" w:cs="宋体"/>
          <w:lang w:val="en-US" w:eastAsia="zh-CN"/>
        </w:rPr>
        <w:t>陈莉瑶</w:t>
      </w:r>
      <w:r>
        <w:rPr>
          <w:rFonts w:hint="eastAsia" w:ascii="宋体" w:hAnsi="宋体" w:eastAsia="宋体" w:cs="宋体"/>
          <w:lang w:val="zh-CN"/>
        </w:rPr>
        <w:t xml:space="preserve"> 联系电话：021-32169666-75</w:t>
      </w:r>
      <w:r>
        <w:rPr>
          <w:rFonts w:hint="eastAsia" w:ascii="宋体" w:hAnsi="宋体" w:eastAsia="宋体" w:cs="宋体"/>
          <w:lang w:val="en-US" w:eastAsia="zh-CN"/>
        </w:rPr>
        <w:t>15</w:t>
      </w:r>
      <w:r>
        <w:rPr>
          <w:rFonts w:hint="eastAsia" w:ascii="宋体" w:hAnsi="宋体" w:eastAsia="宋体" w:cs="宋体"/>
          <w:lang w:val="zh-CN"/>
        </w:rPr>
        <w:t>；</w:t>
      </w:r>
      <w:r>
        <w:rPr>
          <w:rFonts w:hint="eastAsia" w:ascii="宋体" w:hAnsi="宋体" w:eastAsia="宋体" w:cs="宋体"/>
        </w:rPr>
        <w:t>邮箱：</w:t>
      </w:r>
      <w:r>
        <w:rPr>
          <w:rFonts w:hint="eastAsia" w:ascii="宋体" w:hAnsi="宋体" w:eastAsia="宋体" w:cs="宋体"/>
          <w:lang w:val="en-US" w:eastAsia="zh-CN"/>
        </w:rPr>
        <w:t>chenliyao_900</w:t>
      </w:r>
      <w:r>
        <w:rPr>
          <w:rFonts w:hint="eastAsia" w:ascii="宋体" w:hAnsi="宋体" w:eastAsia="宋体" w:cs="宋体"/>
        </w:rPr>
        <w:t>@bankcomm.com</w:t>
      </w:r>
    </w:p>
    <w:p>
      <w:pPr>
        <w:pStyle w:val="2"/>
        <w:overflowPunct w:val="0"/>
        <w:topLinePunct/>
        <w:ind w:left="106" w:right="203" w:firstLine="627"/>
        <w:rPr>
          <w:rFonts w:hint="eastAsia" w:ascii="宋体" w:hAnsi="宋体" w:eastAsia="宋体" w:cs="宋体"/>
          <w:lang w:val="zh-CN"/>
        </w:rPr>
      </w:pPr>
    </w:p>
    <w:p>
      <w:pPr>
        <w:pStyle w:val="2"/>
        <w:overflowPunct w:val="0"/>
        <w:topLinePunct/>
        <w:ind w:left="106" w:right="203" w:firstLine="627"/>
        <w:rPr>
          <w:rFonts w:hint="eastAsia" w:ascii="宋体" w:hAnsi="宋体" w:eastAsia="宋体" w:cs="宋体"/>
          <w:lang w:val="zh-CN"/>
        </w:rPr>
      </w:pPr>
    </w:p>
    <w:p>
      <w:pPr>
        <w:pStyle w:val="2"/>
        <w:overflowPunct w:val="0"/>
        <w:topLinePunct/>
        <w:ind w:left="106" w:right="203" w:firstLine="627"/>
        <w:rPr>
          <w:rFonts w:hint="eastAsia" w:ascii="宋体" w:hAnsi="宋体" w:eastAsia="宋体" w:cs="宋体"/>
          <w:lang w:val="zh-CN"/>
        </w:rPr>
      </w:pPr>
    </w:p>
    <w:p>
      <w:pPr>
        <w:autoSpaceDE w:val="0"/>
        <w:autoSpaceDN w:val="0"/>
        <w:adjustRightInd w:val="0"/>
        <w:spacing w:line="560" w:lineRule="atLeast"/>
        <w:ind w:firstLine="640"/>
        <w:jc w:val="right"/>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交银国际信托有限公司</w:t>
      </w:r>
      <w:r>
        <w:rPr>
          <w:rFonts w:hint="eastAsia" w:ascii="宋体" w:hAnsi="宋体" w:eastAsia="宋体" w:cs="宋体"/>
          <w:kern w:val="0"/>
          <w:sz w:val="32"/>
          <w:szCs w:val="32"/>
        </w:rPr>
        <w:t>预算财务部</w:t>
      </w:r>
    </w:p>
    <w:p>
      <w:pPr>
        <w:autoSpaceDE w:val="0"/>
        <w:autoSpaceDN w:val="0"/>
        <w:adjustRightInd w:val="0"/>
        <w:spacing w:line="560" w:lineRule="atLeast"/>
        <w:ind w:firstLine="640"/>
        <w:jc w:val="right"/>
        <w:rPr>
          <w:rFonts w:hint="eastAsia" w:ascii="宋体" w:hAnsi="宋体" w:eastAsia="宋体" w:cs="宋体"/>
        </w:rPr>
      </w:pPr>
      <w:r>
        <w:rPr>
          <w:rFonts w:hint="eastAsia" w:ascii="宋体" w:hAnsi="宋体" w:eastAsia="宋体" w:cs="宋体"/>
          <w:kern w:val="0"/>
          <w:sz w:val="32"/>
          <w:szCs w:val="32"/>
          <w:lang w:val="zh-CN"/>
        </w:rPr>
        <w:t>20</w:t>
      </w:r>
      <w:r>
        <w:rPr>
          <w:rFonts w:hint="eastAsia" w:ascii="宋体" w:hAnsi="宋体" w:eastAsia="宋体" w:cs="宋体"/>
          <w:kern w:val="0"/>
          <w:sz w:val="32"/>
          <w:szCs w:val="32"/>
        </w:rPr>
        <w:t>25</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12</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9</w:t>
      </w:r>
      <w:r>
        <w:rPr>
          <w:rFonts w:hint="eastAsia" w:ascii="宋体" w:hAnsi="宋体" w:eastAsia="宋体" w:cs="宋体"/>
          <w:kern w:val="0"/>
          <w:sz w:val="32"/>
          <w:szCs w:val="32"/>
          <w:lang w:val="zh-CN"/>
        </w:rPr>
        <w:t>日</w:t>
      </w:r>
    </w:p>
    <w:bookmarkEnd w:id="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3C0041" w:csb1="A008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B7CCE"/>
    <w:rsid w:val="0004533F"/>
    <w:rsid w:val="00094FDD"/>
    <w:rsid w:val="001B5E87"/>
    <w:rsid w:val="001C14E9"/>
    <w:rsid w:val="005729FB"/>
    <w:rsid w:val="005B75E7"/>
    <w:rsid w:val="005D0D38"/>
    <w:rsid w:val="00637461"/>
    <w:rsid w:val="00647921"/>
    <w:rsid w:val="006F31B3"/>
    <w:rsid w:val="007815DA"/>
    <w:rsid w:val="008C75D3"/>
    <w:rsid w:val="00AC5624"/>
    <w:rsid w:val="00AC57AA"/>
    <w:rsid w:val="00B0093C"/>
    <w:rsid w:val="00B22214"/>
    <w:rsid w:val="00C04E2D"/>
    <w:rsid w:val="00C520B9"/>
    <w:rsid w:val="00C76CC3"/>
    <w:rsid w:val="00C90A5B"/>
    <w:rsid w:val="00CC4000"/>
    <w:rsid w:val="00EB2B74"/>
    <w:rsid w:val="00F76240"/>
    <w:rsid w:val="00FB7F33"/>
    <w:rsid w:val="01933276"/>
    <w:rsid w:val="08AF08E8"/>
    <w:rsid w:val="0A585C00"/>
    <w:rsid w:val="11895843"/>
    <w:rsid w:val="26962772"/>
    <w:rsid w:val="2A4B7CCE"/>
    <w:rsid w:val="305448DF"/>
    <w:rsid w:val="310E3124"/>
    <w:rsid w:val="3268171A"/>
    <w:rsid w:val="33D07594"/>
    <w:rsid w:val="3D993968"/>
    <w:rsid w:val="44855F0E"/>
    <w:rsid w:val="52F61CBE"/>
    <w:rsid w:val="5A4478C8"/>
    <w:rsid w:val="5C4F5168"/>
    <w:rsid w:val="635875D5"/>
    <w:rsid w:val="69E47039"/>
    <w:rsid w:val="6CE33FEC"/>
    <w:rsid w:val="7B5018D8"/>
    <w:rsid w:val="7C482A62"/>
    <w:rsid w:val="7E0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autoSpaceDE w:val="0"/>
      <w:autoSpaceDN w:val="0"/>
      <w:adjustRightInd w:val="0"/>
      <w:ind w:left="107"/>
      <w:jc w:val="left"/>
    </w:pPr>
    <w:rPr>
      <w:rFonts w:ascii="方正仿宋_GBK" w:hAnsi="Times New Roman" w:eastAsia="方正仿宋_GBK" w:cs="方正仿宋_GBK"/>
      <w:kern w:val="0"/>
      <w:sz w:val="32"/>
      <w:szCs w:val="32"/>
    </w:rPr>
  </w:style>
  <w:style w:type="paragraph" w:styleId="3">
    <w:name w:val="annotation text"/>
    <w:basedOn w:val="1"/>
    <w:qFormat/>
    <w:uiPriority w:val="0"/>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szCs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1045</Words>
  <Characters>1217</Characters>
  <Lines>5</Lines>
  <Paragraphs>1</Paragraphs>
  <TotalTime>9</TotalTime>
  <ScaleCrop>false</ScaleCrop>
  <LinksUpToDate>false</LinksUpToDate>
  <CharactersWithSpaces>1220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2025-05-23T06:16:00Z</dcterms:created>
  <dc:creator>袁跃文</dc:creator>
  <cp:lastModifiedBy>王佳祎</cp:lastModifiedBy>
  <dcterms:modified xsi:type="dcterms:W3CDTF">2025-12-09T08:47:48Z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67F36FA4AABA4DAA90621E78463EBD1D</vt:lpwstr>
  </property>
</Properties>
</file>